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0" w:line="240" w:lineRule="auto"/>
        <w:jc w:val="both"/>
        <w:rPr>
          <w:rFonts w:ascii="Times New Roman" w:hAnsi="Times New Roman" w:eastAsia="Times New Roman" w:cs="Times New Roman"/>
          <w:b/>
          <w:bCs/>
          <w:color w:val="FF0000"/>
          <w:sz w:val="30"/>
          <w:szCs w:val="30"/>
        </w:rPr>
      </w:pPr>
      <w:r>
        <w:rPr>
          <w:rFonts w:hint="eastAsia" w:ascii="宋体" w:hAnsi="宋体" w:cs="宋体"/>
          <w:b/>
          <w:bCs/>
          <w:color w:val="535353"/>
          <w:sz w:val="30"/>
          <w:szCs w:val="30"/>
          <w:lang w:val="en-US" w:eastAsia="zh-CN"/>
        </w:rPr>
        <w:t xml:space="preserve">                </w:t>
      </w:r>
      <w:bookmarkStart w:id="0" w:name="_GoBack"/>
      <w:bookmarkEnd w:id="0"/>
      <w:r>
        <w:rPr>
          <w:rFonts w:ascii="宋体" w:hAnsi="宋体" w:eastAsia="宋体" w:cs="宋体"/>
          <w:b/>
          <w:bCs/>
          <w:color w:val="535353"/>
          <w:sz w:val="30"/>
          <w:szCs w:val="30"/>
        </w:rPr>
        <w:t>工信部（</w:t>
      </w:r>
      <w:r>
        <w:rPr>
          <w:rFonts w:ascii="Times New Roman" w:hAnsi="Times New Roman" w:eastAsia="Times New Roman" w:cs="Times New Roman"/>
          <w:b/>
          <w:bCs/>
          <w:color w:val="535353"/>
          <w:sz w:val="30"/>
          <w:szCs w:val="30"/>
        </w:rPr>
        <w:t>2009</w:t>
      </w:r>
      <w:r>
        <w:rPr>
          <w:rFonts w:ascii="宋体" w:hAnsi="宋体" w:eastAsia="宋体" w:cs="宋体"/>
          <w:b/>
          <w:bCs/>
          <w:color w:val="535353"/>
          <w:sz w:val="30"/>
          <w:szCs w:val="30"/>
        </w:rPr>
        <w:t>）</w:t>
      </w:r>
      <w:r>
        <w:rPr>
          <w:rFonts w:ascii="Times New Roman" w:hAnsi="Times New Roman" w:eastAsia="Times New Roman" w:cs="Times New Roman"/>
          <w:b/>
          <w:bCs/>
          <w:color w:val="535353"/>
          <w:sz w:val="30"/>
          <w:szCs w:val="30"/>
        </w:rPr>
        <w:t>666</w:t>
      </w:r>
      <w:r>
        <w:rPr>
          <w:rFonts w:ascii="宋体" w:hAnsi="宋体" w:eastAsia="宋体" w:cs="宋体"/>
          <w:b/>
          <w:bCs/>
          <w:color w:val="535353"/>
          <w:sz w:val="30"/>
          <w:szCs w:val="30"/>
        </w:rPr>
        <w:t>号文件</w:t>
      </w:r>
      <w:r>
        <w:rPr>
          <w:rFonts w:ascii="Times New Roman" w:hAnsi="Times New Roman" w:eastAsia="Times New Roman" w:cs="Times New Roman"/>
          <w:b/>
          <w:bCs/>
          <w:color w:val="FF0000"/>
          <w:sz w:val="30"/>
          <w:szCs w:val="30"/>
        </w:rPr>
        <w:t xml:space="preserve"> </w:t>
      </w:r>
    </w:p>
    <w:p>
      <w:pPr>
        <w:spacing w:line="360" w:lineRule="atLeast"/>
        <w:jc w:val="center"/>
        <w:rPr>
          <w:rFonts w:ascii="Times New Roman" w:hAnsi="Times New Roman" w:eastAsia="Times New Roman" w:cs="Times New Roman"/>
          <w:color w:val="666666"/>
          <w:sz w:val="18"/>
          <w:szCs w:val="18"/>
        </w:rPr>
      </w:pPr>
      <w:r>
        <w:rPr>
          <w:rFonts w:ascii="Times New Roman" w:hAnsi="Times New Roman" w:eastAsia="Times New Roman" w:cs="Times New Roman"/>
          <w:color w:val="666666"/>
          <w:sz w:val="18"/>
          <w:szCs w:val="18"/>
        </w:rPr>
        <w:t>[2010-9-29 16:07:48]</w:t>
      </w:r>
    </w:p>
    <w:p>
      <w:pPr>
        <w:spacing w:line="360" w:lineRule="atLeast"/>
        <w:jc w:val="center"/>
        <w:rPr>
          <w:rFonts w:ascii="Times New Roman" w:hAnsi="Times New Roman" w:eastAsia="Times New Roman" w:cs="Times New Roman"/>
          <w:color w:val="666666"/>
          <w:sz w:val="18"/>
          <w:szCs w:val="18"/>
        </w:rPr>
      </w:pPr>
      <w:r>
        <w:rPr>
          <w:rFonts w:hint="eastAsia" w:ascii="Times New Roman" w:hAnsi="Times New Roman" w:cs="Times New Roman"/>
          <w:b/>
          <w:bCs/>
          <w:color w:val="FF0000"/>
          <w:sz w:val="30"/>
          <w:szCs w:val="30"/>
          <w:lang w:val="en-US" w:eastAsia="zh-CN"/>
        </w:rPr>
        <w:t>(本文件第六条对模拟对讲机停产数字对讲机上市有详细说明,一般核准证的有效期是5年,特种产品除外）</w:t>
      </w:r>
    </w:p>
    <w:p>
      <w:pPr>
        <w:spacing w:after="100" w:line="450" w:lineRule="atLeast"/>
        <w:jc w:val="both"/>
        <w:rPr>
          <w:rFonts w:ascii="Times New Roman" w:hAnsi="Times New Roman" w:eastAsia="Times New Roman" w:cs="Times New Roman"/>
          <w:color w:val="646464"/>
          <w:sz w:val="18"/>
          <w:szCs w:val="18"/>
        </w:rPr>
      </w:pPr>
      <w:r>
        <w:rPr>
          <w:rFonts w:hint="eastAsia" w:ascii="宋体" w:hAnsi="宋体" w:eastAsia="宋体" w:cs="宋体"/>
          <w:color w:val="646464"/>
          <w:sz w:val="18"/>
          <w:szCs w:val="18"/>
        </w:rPr>
        <w:t>为满足社会对数字对讲机的使用需求，促进数字对讲机的健康发展，进一步提高频谱利用率，</w:t>
      </w:r>
      <w:r>
        <w:rPr>
          <w:rFonts w:ascii="Arial" w:hAnsi="Arial" w:eastAsia="Times New Roman" w:cs="Arial"/>
          <w:color w:val="646464"/>
          <w:sz w:val="18"/>
          <w:szCs w:val="18"/>
        </w:rPr>
        <w:t>2009</w:t>
      </w:r>
      <w:r>
        <w:rPr>
          <w:rFonts w:hint="eastAsia" w:ascii="宋体" w:hAnsi="宋体" w:eastAsia="宋体" w:cs="宋体"/>
          <w:color w:val="646464"/>
          <w:sz w:val="18"/>
          <w:szCs w:val="18"/>
        </w:rPr>
        <w:t>年</w:t>
      </w:r>
      <w:r>
        <w:rPr>
          <w:rFonts w:ascii="Arial" w:hAnsi="Arial" w:eastAsia="Times New Roman" w:cs="Arial"/>
          <w:color w:val="646464"/>
          <w:sz w:val="18"/>
          <w:szCs w:val="18"/>
        </w:rPr>
        <w:t>12</w:t>
      </w:r>
      <w:r>
        <w:rPr>
          <w:rFonts w:hint="eastAsia" w:ascii="宋体" w:hAnsi="宋体" w:eastAsia="宋体" w:cs="宋体"/>
          <w:color w:val="646464"/>
          <w:sz w:val="18"/>
          <w:szCs w:val="18"/>
        </w:rPr>
        <w:t>月</w:t>
      </w:r>
      <w:r>
        <w:rPr>
          <w:rFonts w:ascii="Arial" w:hAnsi="Arial" w:eastAsia="Times New Roman" w:cs="Arial"/>
          <w:color w:val="646464"/>
          <w:sz w:val="18"/>
          <w:szCs w:val="18"/>
        </w:rPr>
        <w:t>16</w:t>
      </w:r>
      <w:r>
        <w:rPr>
          <w:rFonts w:hint="eastAsia" w:ascii="宋体" w:hAnsi="宋体" w:eastAsia="宋体" w:cs="宋体"/>
          <w:color w:val="646464"/>
          <w:sz w:val="18"/>
          <w:szCs w:val="18"/>
        </w:rPr>
        <w:t>日，工业和信息化部颁布了《关于</w:t>
      </w:r>
      <w:r>
        <w:rPr>
          <w:rFonts w:ascii="Arial" w:hAnsi="Arial" w:eastAsia="Times New Roman" w:cs="Arial"/>
          <w:color w:val="646464"/>
          <w:sz w:val="18"/>
          <w:szCs w:val="18"/>
        </w:rPr>
        <w:t>150MHz</w:t>
      </w:r>
      <w:r>
        <w:rPr>
          <w:rFonts w:hint="eastAsia" w:ascii="宋体" w:hAnsi="宋体" w:eastAsia="宋体" w:cs="宋体"/>
          <w:color w:val="646464"/>
          <w:sz w:val="18"/>
          <w:szCs w:val="18"/>
        </w:rPr>
        <w:t>、</w:t>
      </w:r>
      <w:r>
        <w:rPr>
          <w:rFonts w:ascii="Arial" w:hAnsi="Arial" w:eastAsia="Times New Roman" w:cs="Arial"/>
          <w:color w:val="646464"/>
          <w:sz w:val="18"/>
          <w:szCs w:val="18"/>
        </w:rPr>
        <w:t>400MHz</w:t>
      </w:r>
      <w:r>
        <w:rPr>
          <w:rFonts w:hint="eastAsia" w:ascii="宋体" w:hAnsi="宋体" w:eastAsia="宋体" w:cs="宋体"/>
          <w:color w:val="646464"/>
          <w:sz w:val="18"/>
          <w:szCs w:val="18"/>
        </w:rPr>
        <w:t>频段专用对讲机频率规划和使用管理有关事宜的通知》，数字对讲机在国内发展有了正式的依据</w:t>
      </w:r>
      <w:r>
        <w:rPr>
          <w:rFonts w:ascii="宋体" w:hAnsi="宋体" w:eastAsia="宋体" w:cs="宋体"/>
          <w:color w:val="646464"/>
          <w:sz w:val="18"/>
          <w:szCs w:val="18"/>
        </w:rPr>
        <w:t>。</w:t>
      </w:r>
    </w:p>
    <w:p>
      <w:pPr>
        <w:spacing w:after="100" w:line="450" w:lineRule="atLeast"/>
        <w:jc w:val="center"/>
        <w:rPr>
          <w:rFonts w:hint="eastAsia" w:ascii="Times New Roman" w:hAnsi="Times New Roman" w:cs="Times New Roman"/>
          <w:color w:val="646464"/>
          <w:sz w:val="18"/>
          <w:szCs w:val="18"/>
        </w:rPr>
      </w:pPr>
      <w:r>
        <w:rPr>
          <w:rFonts w:ascii="Times New Roman" w:hAnsi="Times New Roman" w:eastAsia="Times New Roman" w:cs="Times New Roman"/>
          <w:color w:val="646464"/>
          <w:sz w:val="18"/>
          <w:szCs w:val="18"/>
          <w:lang w:val="en-US" w:eastAsia="zh-CN" w:bidi="ar-SA"/>
        </w:rPr>
        <w:pict>
          <v:shape id="_x0000_i1025" o:spt="75" type="#_x0000_t75" style="height:432.75pt;width:378.75pt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="100" w:line="450" w:lineRule="atLeast"/>
        <w:jc w:val="center"/>
        <w:rPr>
          <w:rFonts w:hint="eastAsia" w:ascii="Times New Roman" w:hAnsi="Times New Roman" w:cs="Times New Roman"/>
          <w:color w:val="646464"/>
          <w:sz w:val="18"/>
          <w:szCs w:val="18"/>
        </w:rPr>
      </w:pPr>
    </w:p>
    <w:p>
      <w:pPr>
        <w:spacing w:after="100" w:line="450" w:lineRule="atLeast"/>
        <w:jc w:val="center"/>
        <w:rPr>
          <w:rFonts w:hint="eastAsia" w:ascii="Times New Roman" w:hAnsi="Times New Roman" w:cs="Times New Roman"/>
          <w:color w:val="646464"/>
          <w:sz w:val="18"/>
          <w:szCs w:val="18"/>
        </w:rPr>
      </w:pPr>
    </w:p>
    <w:p>
      <w:pPr>
        <w:spacing w:after="100" w:line="450" w:lineRule="atLeast"/>
        <w:jc w:val="center"/>
        <w:rPr>
          <w:rFonts w:hint="eastAsia" w:ascii="Times New Roman" w:hAnsi="Times New Roman" w:cs="Times New Roman"/>
          <w:color w:val="646464"/>
          <w:sz w:val="18"/>
          <w:szCs w:val="18"/>
        </w:rPr>
      </w:pPr>
    </w:p>
    <w:p>
      <w:pPr>
        <w:spacing w:after="100" w:line="450" w:lineRule="atLeast"/>
        <w:jc w:val="center"/>
        <w:rPr>
          <w:rFonts w:hint="eastAsia" w:ascii="Times New Roman" w:hAnsi="Times New Roman" w:cs="Times New Roman"/>
          <w:color w:val="646464"/>
          <w:sz w:val="18"/>
          <w:szCs w:val="18"/>
        </w:rPr>
      </w:pPr>
      <w:r>
        <w:rPr>
          <w:rFonts w:hint="eastAsia" w:ascii="Times New Roman" w:hAnsi="Times New Roman" w:eastAsia="宋体" w:cs="Times New Roman"/>
          <w:color w:val="646464"/>
          <w:sz w:val="18"/>
          <w:szCs w:val="18"/>
          <w:lang w:val="en-US" w:eastAsia="zh-CN" w:bidi="ar-SA"/>
        </w:rPr>
        <w:pict>
          <v:shape id="_x0000_i1026" o:spt="75" type="#_x0000_t75" style="height:432pt;width:381.75pt;" fillcolor="#FFFFFF" filled="f" o:preferrelative="t" stroked="f" coordsize="21600,21600">
            <v:path/>
            <v:fill on="f" color2="#FFFFFF" focussize="0,0"/>
            <v:stroke on="f"/>
            <v:imagedata r:id="rId5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="100" w:line="450" w:lineRule="atLeast"/>
        <w:jc w:val="center"/>
        <w:rPr>
          <w:rFonts w:hint="eastAsia" w:ascii="Times New Roman" w:hAnsi="Times New Roman" w:cs="Times New Roman"/>
          <w:color w:val="646464"/>
          <w:sz w:val="18"/>
          <w:szCs w:val="18"/>
        </w:rPr>
      </w:pPr>
    </w:p>
    <w:p>
      <w:pPr>
        <w:spacing w:after="100" w:line="450" w:lineRule="atLeast"/>
        <w:jc w:val="center"/>
        <w:rPr>
          <w:rFonts w:hint="eastAsia" w:ascii="Times New Roman" w:hAnsi="Times New Roman" w:cs="Times New Roman"/>
          <w:color w:val="646464"/>
          <w:sz w:val="18"/>
          <w:szCs w:val="18"/>
        </w:rPr>
      </w:pPr>
    </w:p>
    <w:p>
      <w:pPr>
        <w:rPr>
          <w:rFonts w:ascii="Times New Roman" w:hAnsi="Times New Roman" w:cs="Times New Roman"/>
          <w:color w:val="646464"/>
          <w:sz w:val="18"/>
          <w:szCs w:val="18"/>
        </w:rPr>
      </w:pPr>
      <w:r>
        <w:rPr>
          <w:rFonts w:ascii="Times New Roman" w:hAnsi="Times New Roman" w:cs="Times New Roman"/>
          <w:color w:val="646464"/>
          <w:sz w:val="18"/>
          <w:szCs w:val="18"/>
        </w:rPr>
        <w:br w:type="page"/>
      </w:r>
    </w:p>
    <w:p>
      <w:pPr>
        <w:spacing w:after="100" w:line="450" w:lineRule="atLeast"/>
        <w:jc w:val="center"/>
        <w:rPr>
          <w:rFonts w:hint="eastAsia" w:ascii="Times New Roman" w:hAnsi="Times New Roman" w:cs="Times New Roman"/>
          <w:color w:val="646464"/>
          <w:sz w:val="18"/>
          <w:szCs w:val="18"/>
        </w:rPr>
      </w:pPr>
      <w:r>
        <w:rPr>
          <w:rFonts w:hint="eastAsia" w:ascii="Times New Roman" w:hAnsi="Times New Roman" w:eastAsia="宋体" w:cs="Times New Roman"/>
          <w:color w:val="646464"/>
          <w:sz w:val="18"/>
          <w:szCs w:val="18"/>
          <w:lang w:val="en-US" w:eastAsia="zh-CN" w:bidi="ar-SA"/>
        </w:rPr>
        <w:pict>
          <v:shape id="_x0000_i1027" o:spt="75" type="#_x0000_t75" style="height:423pt;width:380.25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Times New Roman" w:hAnsi="Times New Roman" w:cs="Times New Roman"/>
          <w:color w:val="646464"/>
          <w:sz w:val="18"/>
          <w:szCs w:val="18"/>
        </w:rPr>
      </w:pPr>
      <w:r>
        <w:rPr>
          <w:rFonts w:ascii="Times New Roman" w:hAnsi="Times New Roman" w:cs="Times New Roman"/>
          <w:color w:val="646464"/>
          <w:sz w:val="18"/>
          <w:szCs w:val="18"/>
        </w:rPr>
        <w:br w:type="page"/>
      </w:r>
    </w:p>
    <w:p>
      <w:pPr>
        <w:spacing w:after="100" w:line="450" w:lineRule="atLeast"/>
        <w:jc w:val="center"/>
        <w:rPr>
          <w:rFonts w:hint="eastAsia" w:ascii="Times New Roman" w:hAnsi="Times New Roman" w:cs="Times New Roman"/>
          <w:color w:val="646464"/>
          <w:sz w:val="18"/>
          <w:szCs w:val="18"/>
        </w:rPr>
      </w:pPr>
      <w:r>
        <w:rPr>
          <w:rFonts w:hint="eastAsia" w:ascii="Times New Roman" w:hAnsi="Times New Roman" w:eastAsia="宋体" w:cs="Times New Roman"/>
          <w:color w:val="646464"/>
          <w:sz w:val="18"/>
          <w:szCs w:val="18"/>
          <w:lang w:val="en-US" w:eastAsia="zh-CN" w:bidi="ar-SA"/>
        </w:rPr>
        <w:pict>
          <v:shape id="_x0000_i1028" o:spt="75" type="#_x0000_t75" style="height:436.5pt;width:378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spacing w:after="100" w:line="450" w:lineRule="atLeast"/>
        <w:jc w:val="center"/>
        <w:rPr>
          <w:rFonts w:hint="eastAsia" w:ascii="Times New Roman" w:hAnsi="Times New Roman" w:cs="Times New Roman"/>
          <w:color w:val="646464"/>
          <w:sz w:val="18"/>
          <w:szCs w:val="18"/>
        </w:rPr>
      </w:pPr>
      <w:r>
        <w:rPr>
          <w:rFonts w:hint="eastAsia" w:ascii="Times New Roman" w:hAnsi="Times New Roman" w:eastAsia="宋体" w:cs="Times New Roman"/>
          <w:color w:val="646464"/>
          <w:sz w:val="18"/>
          <w:szCs w:val="18"/>
          <w:lang w:val="en-US" w:eastAsia="zh-CN" w:bidi="ar-SA"/>
        </w:rPr>
        <w:pict>
          <v:shape id="_x0000_i1029" o:spt="75" type="#_x0000_t75" style="height:420.75pt;width:378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/>
    </w:p>
    <w:sectPr>
      <w:pgSz w:w="12240" w:h="15840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Lucida Sans">
    <w:altName w:val="Lucida Sans Unicode"/>
    <w:panose1 w:val="020B0602030504020204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720"/>
  <w:displayHorizontalDrawingGridEvery w:val="1"/>
  <w:displayVerticalDrawingGridEvery w:val="1"/>
  <w:characterSpacingControl w:val="doNotCompress"/>
  <w:compat>
    <w:spaceForUL/>
    <w:doNotLeaveBackslashAlone/>
    <w:ulTrailSpac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5B94"/>
    <w:rsid w:val="003B0260"/>
    <w:rsid w:val="00E75B94"/>
    <w:rsid w:val="00FC7F50"/>
    <w:rsid w:val="021909EA"/>
    <w:rsid w:val="461F2ED6"/>
    <w:rsid w:val="6D016666"/>
    <w:rsid w:val="6E927CF6"/>
    <w:rsid w:val="7D782733"/>
  </w:rsids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5"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Balloon Text Char"/>
    <w:basedOn w:val="3"/>
    <w:link w:val="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Motorola</Company>
  <Pages>5</Pages>
  <Words>27</Words>
  <Characters>154</Characters>
  <Lines>1</Lines>
  <Paragraphs>1</Paragraphs>
  <ScaleCrop>false</ScaleCrop>
  <LinksUpToDate>false</LinksUpToDate>
  <CharactersWithSpaces>0</CharactersWithSpaces>
  <Application>WPS Office_10.1.0.5457_F1E327BC-269C-435d-A152-05C5408002CA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2013-04-10T08:27:00Z</dcterms:created>
  <dc:creator>Windows SOE User</dc:creator>
  <cp:lastModifiedBy>admin</cp:lastModifiedBy>
  <dcterms:modified xsi:type="dcterms:W3CDTF">2018-10-11T02:11:15Z</dcterms:modified>
  <dc:title>工信部（2009）666号文件 (本文件第六条对模拟对讲机停产数字对讲机上市有详细说明）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